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263F54">
      <w:r>
        <w:rPr>
          <w:noProof/>
          <w:lang w:eastAsia="ru-RU"/>
        </w:rPr>
        <w:drawing>
          <wp:inline distT="0" distB="0" distL="0" distR="0">
            <wp:extent cx="8572500" cy="6124575"/>
            <wp:effectExtent l="0" t="0" r="0" b="9525"/>
            <wp:docPr id="1" name="Рисунок 1" descr="https://lh6.googleusercontent.com/HXDZr2pUBYUoGVgxxpxaijPmE4Mrpb3Uwg8cpLOb4pe4npmrNynRE2sTCxIoqckDQ4-Vu5XDiGXUBjg7xHiz4KYLeWz4tZFAw1plioqaepUY4Z5HAE2VJqvshDOG8AX7DcmXBg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XDZr2pUBYUoGVgxxpxaijPmE4Mrpb3Uwg8cpLOb4pe4npmrNynRE2sTCxIoqckDQ4-Vu5XDiGXUBjg7xHiz4KYLeWz4tZFAw1plioqaepUY4Z5HAE2VJqvshDOG8AX7DcmXBg3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Школа «СТУДИУМ»</w:t>
      </w: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Школа) расположена в Московском районе Санкт-Петербурга. 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 с углубленным изучением английского языка и программ дошкольного образования.</w:t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II. Система управления организацией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Учреждением осуществляется на основе сочетания принципов единоначалия и коллегиальности. 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Органы управления.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11620"/>
      </w:tblGrid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Функции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Определение приоритетных направлений деятельности Учреждения, принципов формирования и использования его имущества;</w:t>
            </w:r>
          </w:p>
          <w:p w:rsidR="00263F54" w:rsidRPr="00263F54" w:rsidRDefault="00263F54" w:rsidP="00263F5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изменение устава Учреждения;</w:t>
            </w:r>
          </w:p>
          <w:p w:rsidR="00263F54" w:rsidRPr="00263F54" w:rsidRDefault="00263F54" w:rsidP="00263F5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назначение исполнительного органа (Генерального директора) и контрольно-ревизионного органа (Ревизора) Учреждения, формирование Педагогического совета, досрочное прекращение их полномочий;</w:t>
            </w:r>
          </w:p>
          <w:p w:rsidR="00263F54" w:rsidRPr="00263F54" w:rsidRDefault="00263F54" w:rsidP="00263F5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утверждение годового отчета и бухгалтерской (финансовой) отчетности Учреждения;</w:t>
            </w:r>
          </w:p>
          <w:p w:rsidR="00263F54" w:rsidRPr="00263F54" w:rsidRDefault="00263F54" w:rsidP="00263F5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принятие решений о создании Учреждением других юридических лиц, об участии Учреждения в других юридических лицах, о создании филиалов и об открытии представительств Учреждения;</w:t>
            </w:r>
          </w:p>
          <w:p w:rsidR="00263F54" w:rsidRPr="00263F54" w:rsidRDefault="00263F54" w:rsidP="00263F5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принятие решений о реорганизации и ликвидации Учреждения, о назначении ликвидационной комиссии (ликвидатора) и об утверждении ликвидационного баланса;</w:t>
            </w:r>
          </w:p>
          <w:p w:rsidR="00263F54" w:rsidRPr="00263F54" w:rsidRDefault="00263F54" w:rsidP="00263F54">
            <w:pPr>
              <w:numPr>
                <w:ilvl w:val="0"/>
                <w:numId w:val="1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утверждение аудиторской организации или индивидуального аудитора Учреждения.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Осуществляет текущее руководство образовательной и хозяйственной деятельностью Учреждения;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открывает и закрывает в банках расчетные и другие счета, распоряжается денежными средствами на счетах;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имеет право первой подписи на финансовых, банковских, бухгалтерских и любых иных документах Учреждения;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принимает меры поощрения к работникам Учреждения и налагает на них взыскания;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принимает решения и издает приказы, распоряжения по вопросам деятельности Учреждения; 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утверждает правила внутреннего распорядка, должностные инструкции Учреждения;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руководит образовательной, научной, финансово-хозяйственной деятельностью Учреждения в соответствии с законодательством Российской Федерации и настоящим Уставом;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заключает и расторгает срочные трудовые договоры с главным бухгалтером, осуществляет прием на работу и увольнение других категорий работников в соответствии с законодательством Российской Федерации;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определяет полномочия работников Учреждения, утверждает соответствующие должностные инструкции;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выдает  и отзывает доверенности от имени Учреждения;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утверждает сметы доходов и расходов структурных подразделений;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утверждает локальные акты (положения) Учреждения, если иное не предусмотрено настоящим уставом или законом;</w:t>
            </w:r>
          </w:p>
          <w:p w:rsidR="00263F54" w:rsidRPr="00263F54" w:rsidRDefault="00263F54" w:rsidP="00263F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назначает и освобождает от должности руководителей структурных подразделений за исключением филиалов и представительств;</w:t>
            </w:r>
          </w:p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Организует ведение образовательного и воспитательного процессов в соответствии с нормами и требованиями законодательства об образовании;</w:t>
            </w:r>
          </w:p>
          <w:p w:rsidR="00263F54" w:rsidRPr="00263F54" w:rsidRDefault="00263F54" w:rsidP="00263F5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Организует административно-хозяйственную деятельность Учреждения;</w:t>
            </w:r>
          </w:p>
          <w:p w:rsidR="00263F54" w:rsidRPr="00263F54" w:rsidRDefault="00263F54" w:rsidP="00263F5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Издает приказы и распоряжения в соответствии  со  своей компетенцией;</w:t>
            </w:r>
          </w:p>
          <w:p w:rsidR="00263F54" w:rsidRPr="00263F54" w:rsidRDefault="00263F54" w:rsidP="00263F5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разрабатывает, утверждает и обеспечивает реализацию локальные нормативные акты Учреждения, в том числе программ развития</w:t>
            </w:r>
            <w:proofErr w:type="gram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образовательной программы, учебных планов, учебных программ курсов, дисциплин, годовых календарных учебных графиков и правил внутреннего трудового распорядка;</w:t>
            </w:r>
          </w:p>
          <w:p w:rsidR="00263F54" w:rsidRPr="00263F54" w:rsidRDefault="00263F54" w:rsidP="00263F5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осуществляет прохождение процедуры лицензирования образовательной деятельности и государственной аккредитации образовательных программ;</w:t>
            </w:r>
          </w:p>
          <w:p w:rsidR="00263F54" w:rsidRPr="00263F54" w:rsidRDefault="00263F54" w:rsidP="00263F54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готовит и утверждает годовой отчет о деятельности Учреждения;</w:t>
            </w:r>
          </w:p>
          <w:p w:rsidR="00263F54" w:rsidRPr="00263F54" w:rsidRDefault="00263F54" w:rsidP="00263F54">
            <w:pPr>
              <w:numPr>
                <w:ilvl w:val="0"/>
                <w:numId w:val="3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обеспечивает сохранность материальных ценностей и денежных средств Учреждения, соблюдение налогового законодательства, законодательства о труде и законодательства об образовании.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Рассмотрение перспективных и текущих планов учебной и методической работы Учреждения, заслушивание отчетов об их выполнении;</w:t>
            </w:r>
          </w:p>
          <w:p w:rsidR="00263F54" w:rsidRPr="00263F54" w:rsidRDefault="00263F54" w:rsidP="00263F54">
            <w:pPr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обсуждение учебных программ и проектов, касающихся учебного процесса Учреждения;</w:t>
            </w:r>
          </w:p>
          <w:p w:rsidR="00263F54" w:rsidRPr="00263F54" w:rsidRDefault="00263F54" w:rsidP="00263F54">
            <w:pPr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разработка программ учебных дисциплин, изменений и дополнений к ним;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обсуждение вопросов продолжительности учебного процесса;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обсуждение вопросов, касающихся организации и осуществления образовательной деятельности в Учреждении;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подведение итогов учебной работы;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анализ успеваемости </w:t>
            </w:r>
            <w:proofErr w:type="gram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организация и совершенствование методического обеспечения образовательного процесса;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разработка образовательных программ;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организация образовательного процесса 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осуществление текущего контроля успеваемости, промежуточной и итоговой аттестации </w:t>
            </w:r>
            <w:proofErr w:type="gram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(если эти процедуры предусмотрены образовательной программой);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обсуждение любых вопросов образовательной деятельности Учреждения и принятие по ним решений;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присуждение за заслуги в области образования премий, наград </w:t>
            </w:r>
            <w:proofErr w:type="gram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;</w:t>
            </w:r>
          </w:p>
          <w:p w:rsidR="00263F54" w:rsidRPr="00263F54" w:rsidRDefault="00263F54" w:rsidP="00263F54">
            <w:pPr>
              <w:numPr>
                <w:ilvl w:val="0"/>
                <w:numId w:val="5"/>
              </w:numPr>
              <w:shd w:val="clear" w:color="auto" w:fill="FFFFFF"/>
              <w:spacing w:after="0" w:line="0" w:lineRule="atLeast"/>
              <w:ind w:left="3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локальное нормотворчество (локальные акты Учреждения по вопросам образовательной деятельности).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4" w:space="0" w:color="00000A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Общее собрание  работников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4" w:space="0" w:color="00000A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63F54" w:rsidRPr="00263F54" w:rsidRDefault="00263F54" w:rsidP="00263F54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обсуждать и анализировать организационную и трудовую политики Учреждения, осуществлять «контроль» за соблюдением в Учреждении норм трудового законодательства, </w:t>
            </w:r>
            <w:r w:rsidRPr="0026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разрабатывать рекомендации по улучшению организационной и трудовой политики Учреждения, вести мониторинг соблюдения прав и социальных гарантий   работников  и обучающихся в Учреждении;</w:t>
            </w:r>
          </w:p>
          <w:p w:rsidR="00263F54" w:rsidRPr="00263F54" w:rsidRDefault="00263F54" w:rsidP="00263F54">
            <w:pPr>
              <w:numPr>
                <w:ilvl w:val="0"/>
                <w:numId w:val="6"/>
              </w:numPr>
              <w:spacing w:after="0" w:line="0" w:lineRule="atLeast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рассматривать иные вопросы деятельности Учреждения, вынесенные на рассмотрение Генеральным директором Учреждения и иными органами управления Учреждения.</w:t>
            </w:r>
          </w:p>
        </w:tc>
      </w:tr>
    </w:tbl>
    <w:p w:rsidR="00263F54" w:rsidRPr="00263F54" w:rsidRDefault="00263F54" w:rsidP="00263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III. Оценка образовательной деятельности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включающим учебные планы, годовые календарные графики, расписание занятий, рабочие программы,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учебно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методическое обеспечение, в том</w:t>
      </w:r>
      <w:proofErr w:type="gram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числе</w:t>
      </w:r>
      <w:proofErr w:type="gram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библиотечные и иные источники и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электронно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образовательные ресурсы.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263F54" w:rsidRPr="00263F54" w:rsidRDefault="00263F54" w:rsidP="00263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Воспитательная работа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2018 году в школе проводилась работа по профилактике употребления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психоактивных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веществ, формированию здорового образа жизни, по военно-патриотическому воспитанию совместно с Советом ветеранов и  Советом блокадников Московского района. Мероприятия проводились с участием обучающихся, родителей и представителей общественности. 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Проведены обучающие семинары для учителей по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окозанию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первой медицинской помощи,  по вопросам диагностики неадекватного состояния учащихся. Проводилась систематическая работа с родителями (законными представителями)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течение года были проведены мероприятия по безопасности жизнедеятельности, в том числе тренировка </w:t>
      </w:r>
      <w:proofErr w:type="gram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обучающихся</w:t>
      </w:r>
      <w:proofErr w:type="gram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педагогического коллектива по пожарной безопасности, семинары для коллектива Школы по антитеррористической подготовке.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Были организованы:</w:t>
      </w:r>
    </w:p>
    <w:p w:rsidR="00263F54" w:rsidRPr="00263F54" w:rsidRDefault="00263F54" w:rsidP="0026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</w:t>
      </w:r>
      <w:r w:rsidRPr="00263F5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участие в конкурсе социальных плакатов «Я против ПАВ»;</w:t>
      </w:r>
    </w:p>
    <w:p w:rsidR="00263F54" w:rsidRPr="00263F54" w:rsidRDefault="00263F54" w:rsidP="0026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− проведение классных часов и бесед на антинаркотические темы с использованием </w:t>
      </w:r>
      <w:proofErr w:type="gram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ИКТ-технологий</w:t>
      </w:r>
      <w:proofErr w:type="gram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263F54" w:rsidRPr="00263F54" w:rsidRDefault="00263F54" w:rsidP="0026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Обучающиеся участвовали в учебно-познавательном проектировании историко-краеведческого клуба, тематических мероприятиях, посвященных разным датам, театральная студия на английском языке выпустила новый спектакль, </w:t>
      </w:r>
      <w:proofErr w:type="gram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естественно-научное</w:t>
      </w:r>
      <w:proofErr w:type="gram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направление представляет кружок «Робототехники»,  прошли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внутришкольные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творческие конкурсы, </w:t>
      </w:r>
    </w:p>
    <w:p w:rsidR="00263F54" w:rsidRPr="00263F54" w:rsidRDefault="00263F54" w:rsidP="00263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Дополнительное образование детей</w:t>
      </w:r>
    </w:p>
    <w:p w:rsidR="00263F54" w:rsidRPr="00263F54" w:rsidRDefault="00263F54" w:rsidP="00263F54">
      <w:pPr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Основное предназначение дополнительного образования - удовлетворение многообразных потребностей детей  в познании и общении, которые далеко не всегда могут быть реализованы в рамках предметного обучения в Школе. </w:t>
      </w:r>
    </w:p>
    <w:p w:rsidR="00263F54" w:rsidRPr="00263F54" w:rsidRDefault="00263F54" w:rsidP="00263F54">
      <w:pPr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Школе. </w:t>
      </w:r>
    </w:p>
    <w:p w:rsidR="00263F54" w:rsidRPr="00263F54" w:rsidRDefault="00263F54" w:rsidP="00263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</w:t>
      </w:r>
      <w:proofErr w:type="gram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профессиональную ориентацию учащихся;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 w:rsidRPr="00263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стандартами</w:t>
        </w:r>
      </w:hyperlink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спортивной подготовки, в том числе из числа учащихся с ограниченными возможностями здоровья, детей-инвалидов;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общей культуры учащихся;</w:t>
      </w:r>
    </w:p>
    <w:p w:rsidR="00263F54" w:rsidRPr="00263F54" w:rsidRDefault="00263F54" w:rsidP="00263F5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удовлетворение иных образовательных потребностей и интересов учащихся, не противоречащих законодательству </w:t>
      </w:r>
    </w:p>
    <w:p w:rsidR="00263F54" w:rsidRPr="00263F54" w:rsidRDefault="00263F54" w:rsidP="0026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Российской Федерации, осуществляемых за пределами федеральных государственных образовательных </w:t>
      </w:r>
      <w:hyperlink r:id="rId8" w:history="1">
        <w:r w:rsidRPr="00263F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стандартов</w:t>
        </w:r>
      </w:hyperlink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федеральных государственных требований.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Направления дополнительного образования: </w:t>
      </w:r>
    </w:p>
    <w:p w:rsidR="00263F54" w:rsidRPr="00263F54" w:rsidRDefault="00263F54" w:rsidP="0026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Реализация задач происходит при помощи образовательных программ по 6 направлениям: </w:t>
      </w:r>
    </w:p>
    <w:p w:rsidR="00263F54" w:rsidRPr="00263F54" w:rsidRDefault="00263F54" w:rsidP="00263F5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художественное;  </w:t>
      </w:r>
    </w:p>
    <w:p w:rsidR="00263F54" w:rsidRPr="00263F54" w:rsidRDefault="00263F54" w:rsidP="00263F5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научно-техническое;  </w:t>
      </w:r>
    </w:p>
    <w:p w:rsidR="00263F54" w:rsidRPr="00263F54" w:rsidRDefault="00263F54" w:rsidP="00263F5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социально-педагогическое; </w:t>
      </w:r>
    </w:p>
    <w:p w:rsidR="00263F54" w:rsidRPr="00263F54" w:rsidRDefault="00263F54" w:rsidP="00263F5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физкультурно-спортивное; </w:t>
      </w:r>
    </w:p>
    <w:p w:rsidR="00263F54" w:rsidRPr="00263F54" w:rsidRDefault="00263F54" w:rsidP="00263F5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экскурсионно-музейное;</w:t>
      </w:r>
    </w:p>
    <w:p w:rsidR="00263F54" w:rsidRPr="00263F54" w:rsidRDefault="00263F54" w:rsidP="00263F54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туристско-краеведческое.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Ведется активная подготовка  к реализации программ дополнительного образования для детей.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IV. Содержание и качество подготовки</w:t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Статистика показателей за 2016–2018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7377"/>
        <w:gridCol w:w="1234"/>
        <w:gridCol w:w="1234"/>
        <w:gridCol w:w="1234"/>
      </w:tblGrid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2018 год</w:t>
            </w:r>
          </w:p>
        </w:tc>
      </w:tr>
      <w:tr w:rsidR="00263F54" w:rsidRPr="00263F54" w:rsidTr="00263F54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92</w:t>
            </w: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24</w:t>
            </w: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24</w:t>
            </w: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дошкольное образование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</w:tr>
      <w:tr w:rsidR="00263F54" w:rsidRPr="00263F54" w:rsidTr="00263F54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</w:tr>
      <w:tr w:rsidR="00263F54" w:rsidRPr="00263F54" w:rsidTr="00263F54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среднем</w:t>
            </w:r>
            <w:proofErr w:type="gram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</w:tr>
      <w:tr w:rsidR="00263F54" w:rsidRPr="00263F54" w:rsidTr="00263F54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3F54" w:rsidRPr="00263F54" w:rsidTr="00263F54">
        <w:trPr>
          <w:trHeight w:val="6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в основной школе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263F54" w:rsidRPr="00263F54" w:rsidTr="00263F5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</w:tr>
    </w:tbl>
    <w:p w:rsidR="00263F54" w:rsidRP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Результаты освоения учащимися программ начального общего образования по показателю «успеваемость» в 2018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484"/>
        <w:gridCol w:w="1868"/>
        <w:gridCol w:w="1695"/>
        <w:gridCol w:w="2353"/>
        <w:gridCol w:w="1570"/>
        <w:gridCol w:w="1928"/>
        <w:gridCol w:w="486"/>
        <w:gridCol w:w="929"/>
        <w:gridCol w:w="440"/>
        <w:gridCol w:w="929"/>
      </w:tblGrid>
      <w:tr w:rsidR="00263F54" w:rsidRPr="00263F54" w:rsidTr="00263F54">
        <w:trPr>
          <w:trHeight w:val="2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Из них успевают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Переведены условно</w:t>
            </w:r>
          </w:p>
        </w:tc>
      </w:tr>
      <w:tr w:rsidR="00263F54" w:rsidRPr="00263F54" w:rsidTr="00263F54">
        <w:trPr>
          <w:trHeight w:val="1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Из них н/а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263F54" w:rsidRPr="00263F54" w:rsidTr="00263F54">
        <w:trPr>
          <w:trHeight w:val="6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 отметками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</w:tr>
      <w:tr w:rsidR="00263F54" w:rsidRPr="00263F54" w:rsidTr="00263F54">
        <w:trPr>
          <w:trHeight w:val="3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rPr>
          <w:trHeight w:val="3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rPr>
          <w:trHeight w:val="3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rPr>
          <w:trHeight w:val="3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</w:tbl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mallCaps/>
          <w:color w:val="00000A"/>
          <w:sz w:val="28"/>
          <w:szCs w:val="28"/>
          <w:lang w:eastAsia="ru-RU"/>
        </w:rPr>
        <w:t>1 класс — 9 человек; аттестовано — 9 человек (100%)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F54">
        <w:rPr>
          <w:rFonts w:ascii="Times New Roman" w:eastAsia="Times New Roman" w:hAnsi="Times New Roman" w:cs="Times New Roman"/>
          <w:smallCaps/>
          <w:color w:val="00000A"/>
          <w:sz w:val="28"/>
          <w:szCs w:val="28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</w:t>
      </w: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263F54">
        <w:rPr>
          <w:rFonts w:ascii="Times New Roman" w:eastAsia="Times New Roman" w:hAnsi="Times New Roman" w:cs="Times New Roman"/>
          <w:smallCaps/>
          <w:color w:val="00000A"/>
          <w:sz w:val="28"/>
          <w:szCs w:val="28"/>
          <w:lang w:eastAsia="ru-RU"/>
        </w:rPr>
        <w:t>учащихся, окончивших на «4» и «5», снизился  на 30 процентов</w:t>
      </w:r>
      <w:r w:rsidRPr="00263F54">
        <w:rPr>
          <w:rFonts w:ascii="Times New Roman" w:eastAsia="Times New Roman" w:hAnsi="Times New Roman" w:cs="Times New Roman"/>
          <w:b/>
          <w:bCs/>
          <w:smallCaps/>
          <w:color w:val="00000A"/>
          <w:sz w:val="28"/>
          <w:szCs w:val="28"/>
          <w:lang w:eastAsia="ru-RU"/>
        </w:rPr>
        <w:t xml:space="preserve">, </w:t>
      </w:r>
      <w:r w:rsidRPr="00263F54">
        <w:rPr>
          <w:rFonts w:ascii="Times New Roman" w:eastAsia="Times New Roman" w:hAnsi="Times New Roman" w:cs="Times New Roman"/>
          <w:smallCaps/>
          <w:color w:val="00000A"/>
          <w:sz w:val="28"/>
          <w:szCs w:val="28"/>
          <w:lang w:eastAsia="ru-RU"/>
        </w:rPr>
        <w:t>в связи  с приемом новых учащихся со слабой подготовкой из других школ.</w:t>
      </w:r>
      <w:proofErr w:type="gramEnd"/>
      <w:r w:rsidRPr="00263F54">
        <w:rPr>
          <w:rFonts w:ascii="Times New Roman" w:eastAsia="Times New Roman" w:hAnsi="Times New Roman" w:cs="Times New Roman"/>
          <w:smallCaps/>
          <w:color w:val="00000A"/>
          <w:sz w:val="28"/>
          <w:szCs w:val="28"/>
          <w:lang w:eastAsia="ru-RU"/>
        </w:rPr>
        <w:t xml:space="preserve"> В 2019 году планируется поднять показатели на 15%.</w:t>
      </w:r>
    </w:p>
    <w:p w:rsidR="00263F54" w:rsidRP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i/>
          <w:iCs/>
          <w:smallCaps/>
          <w:color w:val="00000A"/>
          <w:sz w:val="28"/>
          <w:szCs w:val="28"/>
          <w:lang w:eastAsia="ru-RU"/>
        </w:rPr>
        <w:t>Результаты освоения учащимися программ основного общего образования по показателю «успеваемость» в 2018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119"/>
        <w:gridCol w:w="1468"/>
        <w:gridCol w:w="1483"/>
        <w:gridCol w:w="2653"/>
        <w:gridCol w:w="1755"/>
        <w:gridCol w:w="2149"/>
        <w:gridCol w:w="486"/>
        <w:gridCol w:w="1018"/>
        <w:gridCol w:w="440"/>
        <w:gridCol w:w="1018"/>
      </w:tblGrid>
      <w:tr w:rsidR="00263F54" w:rsidRPr="00263F54" w:rsidTr="00263F54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 xml:space="preserve">Всего </w:t>
            </w: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br/>
            </w:r>
            <w:proofErr w:type="spellStart"/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 xml:space="preserve">Из них </w:t>
            </w: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br/>
              <w:t>успевают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 xml:space="preserve">Окончили </w:t>
            </w: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 xml:space="preserve">Окончили </w:t>
            </w: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 xml:space="preserve">Переведены </w:t>
            </w: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br/>
              <w:t>условно</w:t>
            </w:r>
          </w:p>
        </w:tc>
      </w:tr>
      <w:tr w:rsidR="00263F54" w:rsidRPr="00263F54" w:rsidTr="00263F54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Из них н/а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63F54" w:rsidRPr="00263F54" w:rsidTr="00263F54">
        <w:trPr>
          <w:trHeight w:val="8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С отметками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</w:tbl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mallCaps/>
          <w:color w:val="00000A"/>
          <w:sz w:val="28"/>
          <w:szCs w:val="28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на «4» и «5»,  «5», стабилен. 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i/>
          <w:iCs/>
          <w:smallCaps/>
          <w:color w:val="00000A"/>
          <w:sz w:val="28"/>
          <w:szCs w:val="28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2018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371"/>
        <w:gridCol w:w="1828"/>
        <w:gridCol w:w="1679"/>
        <w:gridCol w:w="1764"/>
        <w:gridCol w:w="1625"/>
        <w:gridCol w:w="2168"/>
        <w:gridCol w:w="440"/>
        <w:gridCol w:w="917"/>
        <w:gridCol w:w="440"/>
        <w:gridCol w:w="917"/>
        <w:gridCol w:w="440"/>
      </w:tblGrid>
      <w:tr w:rsidR="00263F54" w:rsidRPr="00263F54" w:rsidTr="00263F54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Из них успевают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Переведены условно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Сменили форму обучения</w:t>
            </w:r>
          </w:p>
        </w:tc>
      </w:tr>
      <w:tr w:rsidR="00263F54" w:rsidRPr="00263F54" w:rsidTr="00263F54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Из них н/а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F54" w:rsidRPr="00263F54" w:rsidTr="00263F54">
        <w:trPr>
          <w:trHeight w:val="7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 xml:space="preserve">С отметками </w:t>
            </w: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br/>
              <w:t>«4» 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 xml:space="preserve">С </w:t>
            </w: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br/>
              <w:t>отметками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</w:tr>
      <w:tr w:rsidR="00263F54" w:rsidRPr="00263F54" w:rsidTr="00263F54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</w:tbl>
    <w:p w:rsidR="00263F54" w:rsidRPr="00263F54" w:rsidRDefault="00263F54" w:rsidP="00263F54">
      <w:pPr>
        <w:numPr>
          <w:ilvl w:val="1"/>
          <w:numId w:val="9"/>
        </w:numPr>
        <w:spacing w:after="0" w:line="240" w:lineRule="auto"/>
        <w:ind w:left="106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Результаты освоения учащимися программ среднего общего образования по показателю «успеваемость» в 2018 учебном году снизился на 42 %, в связи с небольшой наполняемостью классов и приемом учащихся из других образовательных школ со слабой подготовкой по разным учебным предметам. В 2019 году планируется поднять показатели на 20 %.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263F54" w:rsidRP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Результаты сдачи ЕГЭ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919"/>
        <w:gridCol w:w="2938"/>
        <w:gridCol w:w="3015"/>
        <w:gridCol w:w="1866"/>
      </w:tblGrid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Сдавали всего человек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  <w:t>получили 100 баллов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  <w:t>получили 90–98 баллов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61,2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Математика база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3,6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Математика профиль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55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54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61</w:t>
            </w:r>
          </w:p>
        </w:tc>
      </w:tr>
    </w:tbl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2018 году результаты ЕГЭ оказались стабильными. 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Результаты сдачи ОГЭ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091"/>
        <w:gridCol w:w="3167"/>
        <w:gridCol w:w="2418"/>
        <w:gridCol w:w="2418"/>
        <w:gridCol w:w="2418"/>
      </w:tblGrid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Сдавали всего человек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Качество           знаний </w:t>
            </w:r>
            <w:proofErr w:type="gram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  <w:proofErr w:type="gram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  <w:t>получили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  <w:t>получили «4»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  <w:t>получили «3»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</w:tbl>
    <w:p w:rsidR="00263F54" w:rsidRPr="00263F54" w:rsidRDefault="00263F54" w:rsidP="00263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2018 году  качество знаний по предмету обществознание выросло на 17%, по русскому языку снизилось на 12 %, а по остальным предметам осталось стабильным.</w:t>
      </w:r>
    </w:p>
    <w:p w:rsid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V. Востребованность выпускников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386"/>
        <w:gridCol w:w="1385"/>
        <w:gridCol w:w="1399"/>
        <w:gridCol w:w="2591"/>
        <w:gridCol w:w="897"/>
        <w:gridCol w:w="1552"/>
        <w:gridCol w:w="2591"/>
        <w:gridCol w:w="1664"/>
      </w:tblGrid>
      <w:tr w:rsidR="00263F54" w:rsidRPr="00263F54" w:rsidTr="00263F54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3F54" w:rsidRPr="00263F54" w:rsidTr="00263F54">
        <w:trPr>
          <w:trHeight w:val="68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ВУЗ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Устроились на работу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263F54" w:rsidRPr="00263F54" w:rsidTr="00263F54"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  выпускники Школы поступают в ВУЗ.</w:t>
      </w:r>
    </w:p>
    <w:p w:rsidR="00263F54" w:rsidRP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VI. Оценка </w:t>
      </w:r>
      <w:proofErr w:type="gramStart"/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Школе утверждено положение о внутренней системе оценки качества образования от 25.08.2016. По итогам оценки качества образования в 2018 году выявлено, что уровень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метапредметных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результатов соответствуют среднему уровню,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сформированность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личностных результатов </w:t>
      </w:r>
      <w:proofErr w:type="gram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высокая</w:t>
      </w:r>
      <w:proofErr w:type="gram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результатам анкетирования 2018 года выявлено, что количество родителей, которые удовлетворены качеством образования в Школе, – 100 %, количество обучающихся, удовлетворенных образовательным процессом, – 100%. </w:t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VII. Оценка кадрового обеспечения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период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самообследования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Школе работают 16 педагогов, из них 2 – внешних совместителя. Из них 2 человека имеет среднее специальное образование. В 2018 году аттестацию прошли 6 человек – на соответствие занимаемой должности.</w:t>
      </w: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263F54" w:rsidRPr="00263F54" w:rsidRDefault="00263F54" w:rsidP="00263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Основные принципы кадровой политики направлены: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− на сохранение, укрепление и развитие кадрового потенциала;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постепенного внедрения требований профессиональных стандартов;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повышения уровня квалификации персонала.</w:t>
      </w:r>
    </w:p>
    <w:p w:rsidR="00263F54" w:rsidRPr="00263F54" w:rsidRDefault="00263F54" w:rsidP="00263F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VIII. Оценка учебно-методического и библиотечно-информационного обеспечения </w:t>
      </w:r>
    </w:p>
    <w:p w:rsidR="00263F54" w:rsidRPr="00263F54" w:rsidRDefault="00263F54" w:rsidP="00263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имеется фонд учебной литературы – 2000 единиц.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Общая характеристика: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объем фонд учебной литературы – 1500 единица;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−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книгообеспеченность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100 процентов;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обращаемость – 1250 единиц в год.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Фонд библиотеки формируется за счет средств учредителя.</w:t>
      </w:r>
    </w:p>
    <w:p w:rsidR="00263F54" w:rsidRPr="00263F54" w:rsidRDefault="00263F54" w:rsidP="00263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 фонда и его использование: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789"/>
        <w:gridCol w:w="3543"/>
        <w:gridCol w:w="4989"/>
      </w:tblGrid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экземпляров выдавалось за год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1250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- информационная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</w:tr>
    </w:tbl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Учебный фонд соответствует требованиям ФГОС, учебники фонда входят в федеральный перечень, утвержденный приказом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Минобрнауки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31.03.2014 № 253.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фонде имеются электронные образовательные ресурсы: диски, сетевые образовательные ресурсы, мультимедийные средства (презентации, электронные энциклопедии, дидактические материалы).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Средний уровень посещаемости библиотеки – 10 человек в день.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Оснащенность учебными пособиями достаточная. </w:t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IX. Оценка материально-технической базы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Учебные кабинеты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кабинетная система. Оборудованных лабораториями  кабинетов химии и физики нет. Лабораторные работы проводятся в компьютерном классе.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Учебная литература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имеется необходимый для учеников фонд учебной литературы.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Служба поддержки и сопровождения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  школы имеется педагог-психолог, логопед.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Спортивная база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Уроки физкультуры проводятся на базе школы №508, в соответствии с договором сетевого взаимодействия.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Питание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  столовая на 60 посадочных мест, организовано горячее питание.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Информационные сети и системы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кабинеты оснащены ноутбуками, интерактивными панелями и интерактивными досками</w:t>
      </w:r>
      <w:proofErr w:type="gram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proofErr w:type="gram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меется оборудованный компьютерный класс. В школе работает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Wi-Fi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 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Электронные образовательные ресурсы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школе имеется </w:t>
      </w:r>
      <w:proofErr w:type="spellStart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медиатека</w:t>
      </w:r>
      <w:proofErr w:type="spellEnd"/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 Лабораторные работы по химии, физике, биологии и географии осуществляются с применением виртуальных лабораторий.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Безопасность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 всех помещениях школы (за исключением туалетов) ведется видеонаблюдение. Охрану школы осуществляет частное охранное предприятие.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F54" w:rsidRPr="00263F54" w:rsidRDefault="00263F54" w:rsidP="00263F54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F54" w:rsidRPr="00263F54" w:rsidRDefault="00263F54" w:rsidP="0026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X.Результаты</w:t>
      </w:r>
      <w:proofErr w:type="spellEnd"/>
      <w:r w:rsidRPr="00263F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анализа показателей деятельности организации</w:t>
      </w:r>
    </w:p>
    <w:p w:rsidR="00263F54" w:rsidRPr="00263F54" w:rsidRDefault="00263F54" w:rsidP="00263F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ПОКАЗАТЕЛИ ДЕЯТЕЛЬНОСТИ</w:t>
      </w:r>
    </w:p>
    <w:p w:rsidR="00263F54" w:rsidRPr="00263F54" w:rsidRDefault="00263F54" w:rsidP="00263F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  Частного общеобразовательного учреждения «Школа «СТУДИУМ»</w:t>
      </w:r>
    </w:p>
    <w:p w:rsidR="00263F54" w:rsidRPr="00263F54" w:rsidRDefault="00263F54" w:rsidP="00263F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2018 год.</w:t>
      </w:r>
    </w:p>
    <w:p w:rsidR="00263F54" w:rsidRPr="00263F54" w:rsidRDefault="00263F54" w:rsidP="0026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2523"/>
        <w:gridCol w:w="1490"/>
      </w:tblGrid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59 человек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24 человек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24 человек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 человек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22 человек.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45,8/%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4,0 балл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3,67 балл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61,2 балл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3,6балл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 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36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56/%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12,5/%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7,8/%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 человек/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4,7 %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</w:t>
            </w: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48 человек,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100/%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 человек/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12,5 %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59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 человек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87,5/%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14 человек/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87,5%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12,5/%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12,5/%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12,5/%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человек/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37,5%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человек/%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37,5/%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43,75/%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31,25 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19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17 человек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89,47к/%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единиц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50 единиц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2.4.1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да/нет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59 человек/</w:t>
            </w:r>
          </w:p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100%</w:t>
            </w:r>
          </w:p>
        </w:tc>
      </w:tr>
      <w:tr w:rsidR="00263F54" w:rsidRPr="00263F54" w:rsidTr="00263F5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63F54" w:rsidRPr="00263F54" w:rsidRDefault="00263F54" w:rsidP="00263F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54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 кв. м</w:t>
            </w:r>
          </w:p>
        </w:tc>
      </w:tr>
    </w:tbl>
    <w:p w:rsidR="00263F54" w:rsidRPr="00263F54" w:rsidRDefault="00263F54" w:rsidP="00263F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54" w:rsidRPr="00263F54" w:rsidRDefault="00263F54" w:rsidP="00263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объеме.</w:t>
      </w:r>
    </w:p>
    <w:p w:rsidR="00263F54" w:rsidRDefault="00263F54"/>
    <w:sectPr w:rsidR="00263F54" w:rsidSect="00263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5BE"/>
    <w:multiLevelType w:val="multilevel"/>
    <w:tmpl w:val="F270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56B61"/>
    <w:multiLevelType w:val="multilevel"/>
    <w:tmpl w:val="5440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B4036"/>
    <w:multiLevelType w:val="multilevel"/>
    <w:tmpl w:val="18F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C3E9B"/>
    <w:multiLevelType w:val="multilevel"/>
    <w:tmpl w:val="075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A0FFB"/>
    <w:multiLevelType w:val="multilevel"/>
    <w:tmpl w:val="675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260A4"/>
    <w:multiLevelType w:val="multilevel"/>
    <w:tmpl w:val="577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B1419"/>
    <w:multiLevelType w:val="multilevel"/>
    <w:tmpl w:val="56E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948B6"/>
    <w:multiLevelType w:val="multilevel"/>
    <w:tmpl w:val="78A6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F3A77"/>
    <w:multiLevelType w:val="multilevel"/>
    <w:tmpl w:val="648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54"/>
    <w:rsid w:val="00263F54"/>
    <w:rsid w:val="00620D38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3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3F54"/>
  </w:style>
  <w:style w:type="character" w:styleId="a6">
    <w:name w:val="Hyperlink"/>
    <w:basedOn w:val="a0"/>
    <w:uiPriority w:val="99"/>
    <w:semiHidden/>
    <w:unhideWhenUsed/>
    <w:rsid w:val="00263F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3F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3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3F54"/>
  </w:style>
  <w:style w:type="character" w:styleId="a6">
    <w:name w:val="Hyperlink"/>
    <w:basedOn w:val="a0"/>
    <w:uiPriority w:val="99"/>
    <w:semiHidden/>
    <w:unhideWhenUsed/>
    <w:rsid w:val="00263F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3F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07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899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012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31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899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030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830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196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2019-07-06T22:25:00Z</dcterms:created>
  <dcterms:modified xsi:type="dcterms:W3CDTF">2019-07-06T22:27:00Z</dcterms:modified>
</cp:coreProperties>
</file>